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                                  RELAZIONE INTERMEDIA*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Traccia per la stesura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La relazione deve prendere in considerazione i diversi aspetti che caratterizzano l’esperienza scolastica e precisamente:</w:t>
      </w:r>
    </w:p>
    <w:p w:rsidR="00000000" w:rsidDel="00000000" w:rsidP="00000000" w:rsidRDefault="00000000" w:rsidRPr="00000000" w14:paraId="00000008">
      <w:pPr>
        <w:spacing w:line="360" w:lineRule="auto"/>
        <w:ind w:left="360" w:firstLine="0"/>
        <w:jc w:val="both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- atteggiamenti caratteristici dell’alunno sul piano affettivo – relazionale (rapporti interpersonali, rispetto di sé e degli altri, autocontrollo, responsabilità, …);</w:t>
      </w:r>
    </w:p>
    <w:p w:rsidR="00000000" w:rsidDel="00000000" w:rsidP="00000000" w:rsidRDefault="00000000" w:rsidRPr="00000000" w14:paraId="00000009">
      <w:pPr>
        <w:spacing w:line="360" w:lineRule="auto"/>
        <w:ind w:left="360" w:firstLine="0"/>
        <w:jc w:val="both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- atteggiamenti caratteristici dell’alunno nei confronti dell’esperienza scolastica (impegno, attenzione, partecipazione, motivazione, autonomia, organizzazione, …)</w:t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jc w:val="both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- processo di apprendimento ( area linguistico - espressiva, logico- matematica, motoria, …)</w:t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3376B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tnuNwg8wDPSFOZv3+0dWHdNsw==">AMUW2mW9nISWIzRcsMh6veyad1Sk2G1M3yRL9UOnv0wbJyxLb4/WgXWmCEbI6BNLRAivY5xvmxuoZ5cOHuq/y7+D+BjsbyyVa4bLM+Ys0BW93D+gKTL3ZCBJG/6crKFiD8QTQ34NLnUa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2021-01-29T17:09:00Z</dcterms:created>
  <dc:creator>Giusi</dc:creator>
</cp:coreProperties>
</file>